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ECF10" w14:textId="77777777" w:rsidR="004575D7" w:rsidRDefault="00000000">
      <w:pPr>
        <w:spacing w:after="240" w:line="240" w:lineRule="auto"/>
        <w:ind w:left="360"/>
        <w:rPr>
          <w:rFonts w:ascii="Arial" w:eastAsia="Arial" w:hAnsi="Arial" w:cs="Arial"/>
          <w:sz w:val="32"/>
          <w:szCs w:val="32"/>
        </w:rPr>
      </w:pPr>
      <w:r>
        <w:rPr>
          <w:noProof/>
        </w:rPr>
        <w:drawing>
          <wp:inline distT="0" distB="0" distL="0" distR="0" wp14:anchorId="7664D4D8" wp14:editId="15466BBE">
            <wp:extent cx="1333583" cy="1314005"/>
            <wp:effectExtent l="0" t="0" r="0" b="0"/>
            <wp:docPr id="7" name="image1.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ompany name&#10;&#10;Description automatically generated"/>
                    <pic:cNvPicPr preferRelativeResize="0"/>
                  </pic:nvPicPr>
                  <pic:blipFill>
                    <a:blip r:embed="rId5"/>
                    <a:srcRect/>
                    <a:stretch>
                      <a:fillRect/>
                    </a:stretch>
                  </pic:blipFill>
                  <pic:spPr>
                    <a:xfrm>
                      <a:off x="0" y="0"/>
                      <a:ext cx="1333583" cy="1314005"/>
                    </a:xfrm>
                    <a:prstGeom prst="rect">
                      <a:avLst/>
                    </a:prstGeom>
                    <a:ln/>
                  </pic:spPr>
                </pic:pic>
              </a:graphicData>
            </a:graphic>
          </wp:inline>
        </w:drawing>
      </w:r>
    </w:p>
    <w:tbl>
      <w:tblPr>
        <w:tblStyle w:val="a1"/>
        <w:tblW w:w="7146" w:type="dxa"/>
        <w:tblInd w:w="-100" w:type="dxa"/>
        <w:tblLayout w:type="fixed"/>
        <w:tblLook w:val="0600" w:firstRow="0" w:lastRow="0" w:firstColumn="0" w:lastColumn="0" w:noHBand="1" w:noVBand="1"/>
      </w:tblPr>
      <w:tblGrid>
        <w:gridCol w:w="3215"/>
        <w:gridCol w:w="3931"/>
      </w:tblGrid>
      <w:tr w:rsidR="004575D7" w14:paraId="60A29028" w14:textId="77777777">
        <w:tc>
          <w:tcPr>
            <w:tcW w:w="3215" w:type="dxa"/>
            <w:shd w:val="clear" w:color="auto" w:fill="auto"/>
            <w:tcMar>
              <w:top w:w="100" w:type="dxa"/>
              <w:left w:w="100" w:type="dxa"/>
              <w:bottom w:w="100" w:type="dxa"/>
              <w:right w:w="100" w:type="dxa"/>
            </w:tcMar>
          </w:tcPr>
          <w:p w14:paraId="680A7E30" w14:textId="77777777" w:rsidR="004575D7" w:rsidRDefault="004575D7">
            <w:pPr>
              <w:widowControl w:val="0"/>
              <w:pBdr>
                <w:top w:val="nil"/>
                <w:left w:val="nil"/>
                <w:bottom w:val="nil"/>
                <w:right w:val="nil"/>
                <w:between w:val="nil"/>
              </w:pBdr>
              <w:spacing w:after="0" w:line="276" w:lineRule="auto"/>
            </w:pPr>
          </w:p>
        </w:tc>
        <w:tc>
          <w:tcPr>
            <w:tcW w:w="3931" w:type="dxa"/>
            <w:shd w:val="clear" w:color="auto" w:fill="auto"/>
            <w:tcMar>
              <w:top w:w="100" w:type="dxa"/>
              <w:left w:w="100" w:type="dxa"/>
              <w:bottom w:w="100" w:type="dxa"/>
              <w:right w:w="100" w:type="dxa"/>
            </w:tcMar>
          </w:tcPr>
          <w:p w14:paraId="7597EE6C" w14:textId="77777777" w:rsidR="004575D7" w:rsidRDefault="004575D7">
            <w:pPr>
              <w:widowControl w:val="0"/>
              <w:pBdr>
                <w:top w:val="nil"/>
                <w:left w:val="nil"/>
                <w:bottom w:val="nil"/>
                <w:right w:val="nil"/>
                <w:between w:val="nil"/>
              </w:pBdr>
              <w:spacing w:after="0" w:line="276" w:lineRule="auto"/>
            </w:pPr>
          </w:p>
        </w:tc>
      </w:tr>
    </w:tbl>
    <w:p w14:paraId="57813029" w14:textId="77777777" w:rsidR="004575D7" w:rsidRDefault="00000000">
      <w:pPr>
        <w:spacing w:after="0" w:line="240" w:lineRule="auto"/>
        <w:rPr>
          <w:rFonts w:ascii="Times New Roman" w:eastAsia="Times New Roman" w:hAnsi="Times New Roman"/>
          <w:b/>
          <w:i/>
          <w:sz w:val="30"/>
          <w:szCs w:val="30"/>
        </w:rPr>
      </w:pPr>
      <w:r>
        <w:rPr>
          <w:rFonts w:ascii="Times New Roman" w:eastAsia="Times New Roman" w:hAnsi="Times New Roman"/>
          <w:b/>
          <w:sz w:val="30"/>
          <w:szCs w:val="30"/>
        </w:rPr>
        <w:t xml:space="preserve">  </w:t>
      </w:r>
      <w:r>
        <w:rPr>
          <w:rFonts w:ascii="Times New Roman" w:eastAsia="Times New Roman" w:hAnsi="Times New Roman"/>
          <w:b/>
          <w:i/>
          <w:sz w:val="30"/>
          <w:szCs w:val="30"/>
        </w:rPr>
        <w:t>“Sheer Verve”:</w:t>
      </w:r>
      <w:r>
        <w:rPr>
          <w:rFonts w:ascii="Times New Roman" w:eastAsia="Times New Roman" w:hAnsi="Times New Roman"/>
          <w:b/>
          <w:i/>
          <w:color w:val="000000"/>
          <w:sz w:val="30"/>
          <w:szCs w:val="30"/>
        </w:rPr>
        <w:t xml:space="preserve"> </w:t>
      </w:r>
      <w:r>
        <w:rPr>
          <w:rFonts w:ascii="Times New Roman" w:eastAsia="Times New Roman" w:hAnsi="Times New Roman"/>
          <w:b/>
          <w:i/>
          <w:sz w:val="30"/>
          <w:szCs w:val="30"/>
        </w:rPr>
        <w:t>The Women’s International Art Club (1898-1978)</w:t>
      </w:r>
    </w:p>
    <w:p w14:paraId="122188BD" w14:textId="1C223D11" w:rsidR="004575D7" w:rsidRDefault="00000000">
      <w:pPr>
        <w:spacing w:after="0" w:line="240" w:lineRule="auto"/>
        <w:rPr>
          <w:rFonts w:ascii="Times New Roman" w:eastAsia="Times New Roman" w:hAnsi="Times New Roman"/>
          <w:b/>
          <w:color w:val="000000"/>
          <w:sz w:val="28"/>
          <w:szCs w:val="28"/>
        </w:rPr>
      </w:pPr>
      <w:r>
        <w:rPr>
          <w:rFonts w:ascii="Times New Roman" w:eastAsia="Times New Roman" w:hAnsi="Times New Roman"/>
          <w:b/>
          <w:sz w:val="28"/>
          <w:szCs w:val="28"/>
        </w:rPr>
        <w:t xml:space="preserve">   </w:t>
      </w:r>
      <w:r>
        <w:rPr>
          <w:rFonts w:ascii="Times New Roman" w:eastAsia="Times New Roman" w:hAnsi="Times New Roman"/>
          <w:b/>
          <w:color w:val="000000"/>
          <w:sz w:val="28"/>
          <w:szCs w:val="28"/>
        </w:rPr>
        <w:t xml:space="preserve">Ben Uri Gallery, London NW8 ORH, </w:t>
      </w:r>
      <w:r>
        <w:rPr>
          <w:rFonts w:ascii="Times New Roman" w:eastAsia="Times New Roman" w:hAnsi="Times New Roman"/>
          <w:b/>
          <w:sz w:val="28"/>
          <w:szCs w:val="28"/>
        </w:rPr>
        <w:t xml:space="preserve">13 September </w:t>
      </w:r>
      <w:r w:rsidR="00FD5CAF">
        <w:rPr>
          <w:rFonts w:ascii="Times New Roman" w:eastAsia="Times New Roman" w:hAnsi="Times New Roman"/>
          <w:b/>
          <w:sz w:val="28"/>
          <w:szCs w:val="28"/>
        </w:rPr>
        <w:t>–</w:t>
      </w:r>
      <w:r>
        <w:rPr>
          <w:rFonts w:ascii="Times New Roman" w:eastAsia="Times New Roman" w:hAnsi="Times New Roman"/>
          <w:b/>
          <w:sz w:val="28"/>
          <w:szCs w:val="28"/>
        </w:rPr>
        <w:t xml:space="preserve"> 15 December 2023</w:t>
      </w:r>
    </w:p>
    <w:p w14:paraId="2B876718" w14:textId="77777777" w:rsidR="004575D7" w:rsidRDefault="004575D7">
      <w:pPr>
        <w:spacing w:after="0" w:line="240" w:lineRule="auto"/>
        <w:ind w:left="360"/>
        <w:rPr>
          <w:rFonts w:ascii="Times New Roman" w:eastAsia="Times New Roman" w:hAnsi="Times New Roman"/>
          <w:color w:val="000000"/>
          <w:sz w:val="24"/>
          <w:szCs w:val="24"/>
        </w:rPr>
      </w:pPr>
    </w:p>
    <w:p w14:paraId="048AD28C" w14:textId="77777777" w:rsidR="004575D7" w:rsidRDefault="00000000">
      <w:pPr>
        <w:spacing w:after="0" w:line="240" w:lineRule="auto"/>
        <w:ind w:left="360"/>
        <w:rPr>
          <w:rFonts w:ascii="Times New Roman" w:eastAsia="Times New Roman" w:hAnsi="Times New Roman"/>
          <w:color w:val="000000"/>
          <w:sz w:val="24"/>
          <w:szCs w:val="24"/>
        </w:rPr>
      </w:pPr>
      <w:r>
        <w:rPr>
          <w:noProof/>
        </w:rPr>
        <w:drawing>
          <wp:inline distT="0" distB="0" distL="0" distR="0" wp14:anchorId="49A00282" wp14:editId="1A8D0EB2">
            <wp:extent cx="5731510" cy="4107815"/>
            <wp:effectExtent l="0" t="0" r="0" b="0"/>
            <wp:docPr id="8" name="image2.png" descr="A picture containing baby bed, bedcloth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baby bed, bedclothes&#10;&#10;Description automatically generated"/>
                    <pic:cNvPicPr preferRelativeResize="0"/>
                  </pic:nvPicPr>
                  <pic:blipFill>
                    <a:blip r:embed="rId6"/>
                    <a:srcRect/>
                    <a:stretch>
                      <a:fillRect/>
                    </a:stretch>
                  </pic:blipFill>
                  <pic:spPr>
                    <a:xfrm>
                      <a:off x="0" y="0"/>
                      <a:ext cx="5731510" cy="4107815"/>
                    </a:xfrm>
                    <a:prstGeom prst="rect">
                      <a:avLst/>
                    </a:prstGeom>
                    <a:ln/>
                  </pic:spPr>
                </pic:pic>
              </a:graphicData>
            </a:graphic>
          </wp:inline>
        </w:drawing>
      </w:r>
      <w:r>
        <w:rPr>
          <w:rFonts w:ascii="Times New Roman" w:eastAsia="Times New Roman" w:hAnsi="Times New Roman"/>
          <w:color w:val="000000"/>
          <w:sz w:val="24"/>
          <w:szCs w:val="24"/>
        </w:rPr>
        <w:t xml:space="preserve"> </w:t>
      </w:r>
    </w:p>
    <w:p w14:paraId="5CBBFBA1" w14:textId="77777777" w:rsidR="004575D7" w:rsidRDefault="00000000">
      <w:pPr>
        <w:spacing w:after="0" w:line="240" w:lineRule="auto"/>
        <w:ind w:left="360"/>
        <w:rPr>
          <w:rFonts w:ascii="Times New Roman" w:eastAsia="Times New Roman" w:hAnsi="Times New Roman"/>
          <w:color w:val="000000"/>
          <w:sz w:val="18"/>
          <w:szCs w:val="18"/>
        </w:rPr>
      </w:pPr>
      <w:proofErr w:type="spellStart"/>
      <w:r>
        <w:rPr>
          <w:rFonts w:ascii="Times New Roman" w:eastAsia="Times New Roman" w:hAnsi="Times New Roman"/>
          <w:color w:val="000000"/>
          <w:sz w:val="18"/>
          <w:szCs w:val="18"/>
        </w:rPr>
        <w:t>Orovida</w:t>
      </w:r>
      <w:proofErr w:type="spellEnd"/>
      <w:r>
        <w:rPr>
          <w:rFonts w:ascii="Times New Roman" w:eastAsia="Times New Roman" w:hAnsi="Times New Roman"/>
          <w:color w:val="000000"/>
          <w:sz w:val="18"/>
          <w:szCs w:val="18"/>
        </w:rPr>
        <w:t xml:space="preserve"> Pissarro, </w:t>
      </w:r>
      <w:r>
        <w:rPr>
          <w:rFonts w:ascii="Times New Roman" w:eastAsia="Times New Roman" w:hAnsi="Times New Roman"/>
          <w:i/>
          <w:color w:val="000000"/>
          <w:sz w:val="18"/>
          <w:szCs w:val="18"/>
        </w:rPr>
        <w:t>Ceremonial Dance</w:t>
      </w:r>
      <w:r>
        <w:rPr>
          <w:rFonts w:ascii="Times New Roman" w:eastAsia="Times New Roman" w:hAnsi="Times New Roman"/>
          <w:color w:val="000000"/>
          <w:sz w:val="18"/>
          <w:szCs w:val="18"/>
        </w:rPr>
        <w:t>, 1927, Egg tempera on silk, Private Collection, London © The Artist’s Estate</w:t>
      </w:r>
    </w:p>
    <w:p w14:paraId="32B1473A" w14:textId="77777777" w:rsidR="004575D7" w:rsidRDefault="004575D7">
      <w:pPr>
        <w:spacing w:after="0" w:line="240" w:lineRule="auto"/>
        <w:ind w:left="360"/>
        <w:rPr>
          <w:rFonts w:ascii="Times New Roman" w:eastAsia="Times New Roman" w:hAnsi="Times New Roman"/>
          <w:color w:val="000000"/>
          <w:sz w:val="18"/>
          <w:szCs w:val="18"/>
        </w:rPr>
      </w:pPr>
    </w:p>
    <w:p w14:paraId="56063996" w14:textId="7E1994AD" w:rsidR="004575D7" w:rsidRDefault="00000000">
      <w:pPr>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The Women’s International Art Club (WIAC) was founded in Paris in 1898 as an exhibition platform and networking forum for women artists at a time of restricted opportunities </w:t>
      </w:r>
      <w:r w:rsidR="00C237EF">
        <w:rPr>
          <w:rFonts w:ascii="Times New Roman" w:eastAsia="Times New Roman" w:hAnsi="Times New Roman"/>
          <w:sz w:val="24"/>
          <w:szCs w:val="24"/>
        </w:rPr>
        <w:t>in</w:t>
      </w:r>
      <w:r>
        <w:rPr>
          <w:rFonts w:ascii="Times New Roman" w:eastAsia="Times New Roman" w:hAnsi="Times New Roman"/>
          <w:sz w:val="24"/>
          <w:szCs w:val="24"/>
        </w:rPr>
        <w:t xml:space="preserve"> a male-dominated art establishment. The inaugural exhibition at London’s Grafton Galler</w:t>
      </w:r>
      <w:r w:rsidR="00BD437A">
        <w:rPr>
          <w:rFonts w:ascii="Times New Roman" w:eastAsia="Times New Roman" w:hAnsi="Times New Roman"/>
          <w:sz w:val="24"/>
          <w:szCs w:val="24"/>
        </w:rPr>
        <w:t>ies</w:t>
      </w:r>
      <w:r>
        <w:rPr>
          <w:rFonts w:ascii="Times New Roman" w:eastAsia="Times New Roman" w:hAnsi="Times New Roman"/>
          <w:sz w:val="24"/>
          <w:szCs w:val="24"/>
        </w:rPr>
        <w:t xml:space="preserve"> in 1900 went on to become a feted annual event until the club was dissolved in 1978.</w:t>
      </w:r>
    </w:p>
    <w:p w14:paraId="47DC0E34" w14:textId="77777777" w:rsidR="004575D7" w:rsidRDefault="00000000">
      <w:pPr>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 </w:t>
      </w:r>
    </w:p>
    <w:p w14:paraId="6019AB25" w14:textId="75AC09FB" w:rsidR="004575D7" w:rsidRDefault="00000000">
      <w:pPr>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Ben Uri has a proud record of collecting, </w:t>
      </w:r>
      <w:proofErr w:type="gramStart"/>
      <w:r>
        <w:rPr>
          <w:rFonts w:ascii="Times New Roman" w:eastAsia="Times New Roman" w:hAnsi="Times New Roman"/>
          <w:sz w:val="24"/>
          <w:szCs w:val="24"/>
        </w:rPr>
        <w:t>exhibiting</w:t>
      </w:r>
      <w:proofErr w:type="gramEnd"/>
      <w:r>
        <w:rPr>
          <w:rFonts w:ascii="Times New Roman" w:eastAsia="Times New Roman" w:hAnsi="Times New Roman"/>
          <w:sz w:val="24"/>
          <w:szCs w:val="24"/>
        </w:rPr>
        <w:t xml:space="preserve"> and promoting women artists, who currently form 29% of our collection, </w:t>
      </w:r>
      <w:r w:rsidR="00F04AEC">
        <w:rPr>
          <w:rFonts w:ascii="Times New Roman" w:eastAsia="Times New Roman" w:hAnsi="Times New Roman"/>
          <w:sz w:val="24"/>
          <w:szCs w:val="24"/>
        </w:rPr>
        <w:t>compared to</w:t>
      </w:r>
      <w:r>
        <w:rPr>
          <w:rFonts w:ascii="Times New Roman" w:eastAsia="Times New Roman" w:hAnsi="Times New Roman"/>
          <w:sz w:val="24"/>
          <w:szCs w:val="24"/>
        </w:rPr>
        <w:t xml:space="preserve"> national average of 3%. Our exhibitions programme has consistently highlighted women artists including Else </w:t>
      </w:r>
      <w:proofErr w:type="spellStart"/>
      <w:r>
        <w:rPr>
          <w:rFonts w:ascii="Times New Roman" w:eastAsia="Times New Roman" w:hAnsi="Times New Roman"/>
          <w:sz w:val="24"/>
          <w:szCs w:val="24"/>
        </w:rPr>
        <w:t>Meidner</w:t>
      </w:r>
      <w:proofErr w:type="spellEnd"/>
      <w:r>
        <w:rPr>
          <w:rFonts w:ascii="Times New Roman" w:eastAsia="Times New Roman" w:hAnsi="Times New Roman"/>
          <w:sz w:val="24"/>
          <w:szCs w:val="24"/>
        </w:rPr>
        <w:t xml:space="preserve"> (2002), Dora </w:t>
      </w:r>
      <w:proofErr w:type="spellStart"/>
      <w:r>
        <w:rPr>
          <w:rFonts w:ascii="Times New Roman" w:eastAsia="Times New Roman" w:hAnsi="Times New Roman"/>
          <w:sz w:val="24"/>
          <w:szCs w:val="24"/>
        </w:rPr>
        <w:t>Gordine</w:t>
      </w:r>
      <w:proofErr w:type="spellEnd"/>
      <w:r>
        <w:rPr>
          <w:rFonts w:ascii="Times New Roman" w:eastAsia="Times New Roman" w:hAnsi="Times New Roman"/>
          <w:sz w:val="24"/>
          <w:szCs w:val="24"/>
        </w:rPr>
        <w:t xml:space="preserve"> (2006), Clare </w:t>
      </w:r>
      <w:proofErr w:type="spellStart"/>
      <w:r>
        <w:rPr>
          <w:rFonts w:ascii="Times New Roman" w:eastAsia="Times New Roman" w:hAnsi="Times New Roman"/>
          <w:sz w:val="24"/>
          <w:szCs w:val="24"/>
        </w:rPr>
        <w:t>Winsten</w:t>
      </w:r>
      <w:proofErr w:type="spellEnd"/>
      <w:r>
        <w:rPr>
          <w:rFonts w:ascii="Times New Roman" w:eastAsia="Times New Roman" w:hAnsi="Times New Roman"/>
          <w:sz w:val="24"/>
          <w:szCs w:val="24"/>
        </w:rPr>
        <w:t xml:space="preserve"> (2008), Judy Chicago (2012), Dodo (2012), and Joan Eardley, Sheila Fell and Eva Frankfurther (2014).</w:t>
      </w:r>
    </w:p>
    <w:p w14:paraId="53C78481" w14:textId="4998B8E3" w:rsidR="004575D7" w:rsidRDefault="00000000">
      <w:pPr>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lastRenderedPageBreak/>
        <w:t xml:space="preserve">Celebrating the 125th anniversary of the WIAC’s inception, Ben Uri showcases the club’s “sheer verve” (Bettina Wadia, </w:t>
      </w:r>
      <w:r>
        <w:rPr>
          <w:rFonts w:ascii="Times New Roman" w:eastAsia="Times New Roman" w:hAnsi="Times New Roman"/>
          <w:i/>
          <w:sz w:val="24"/>
          <w:szCs w:val="24"/>
        </w:rPr>
        <w:t>Arts Review</w:t>
      </w:r>
      <w:r>
        <w:rPr>
          <w:rFonts w:ascii="Times New Roman" w:eastAsia="Times New Roman" w:hAnsi="Times New Roman"/>
          <w:sz w:val="24"/>
          <w:szCs w:val="24"/>
        </w:rPr>
        <w:t xml:space="preserve">, 26 January 1963), juxtaposing work by 20 collection artists from a Jewish and/or immigrant background, among them, Sonia Delaunay, Dora </w:t>
      </w:r>
      <w:proofErr w:type="spellStart"/>
      <w:r>
        <w:rPr>
          <w:rFonts w:ascii="Times New Roman" w:eastAsia="Times New Roman" w:hAnsi="Times New Roman"/>
          <w:sz w:val="24"/>
          <w:szCs w:val="24"/>
        </w:rPr>
        <w:t>Gordine</w:t>
      </w:r>
      <w:proofErr w:type="spellEnd"/>
      <w:r>
        <w:rPr>
          <w:rFonts w:ascii="Times New Roman" w:eastAsia="Times New Roman" w:hAnsi="Times New Roman"/>
          <w:sz w:val="24"/>
          <w:szCs w:val="24"/>
        </w:rPr>
        <w:t xml:space="preserve">, Clara Klinghoffer, and </w:t>
      </w:r>
      <w:proofErr w:type="spellStart"/>
      <w:r>
        <w:rPr>
          <w:rFonts w:ascii="Times New Roman" w:eastAsia="Times New Roman" w:hAnsi="Times New Roman"/>
          <w:sz w:val="24"/>
          <w:szCs w:val="24"/>
        </w:rPr>
        <w:t>Orovida</w:t>
      </w:r>
      <w:proofErr w:type="spellEnd"/>
      <w:r>
        <w:rPr>
          <w:rFonts w:ascii="Times New Roman" w:eastAsia="Times New Roman" w:hAnsi="Times New Roman"/>
          <w:sz w:val="24"/>
          <w:szCs w:val="24"/>
        </w:rPr>
        <w:t xml:space="preserve"> (née Pissarro), with loans from public and private collections by well-known WIAC  members </w:t>
      </w:r>
      <w:proofErr w:type="spellStart"/>
      <w:r>
        <w:rPr>
          <w:rFonts w:ascii="Times New Roman" w:eastAsia="Times New Roman" w:hAnsi="Times New Roman"/>
          <w:sz w:val="24"/>
          <w:szCs w:val="24"/>
        </w:rPr>
        <w:t>Ithell</w:t>
      </w:r>
      <w:proofErr w:type="spellEnd"/>
      <w:r>
        <w:rPr>
          <w:rFonts w:ascii="Times New Roman" w:eastAsia="Times New Roman" w:hAnsi="Times New Roman"/>
          <w:sz w:val="24"/>
          <w:szCs w:val="24"/>
        </w:rPr>
        <w:t xml:space="preserve"> Colquhoun and Laura Knight, alongside celebrated exhibitors, such as Gillian Ayres, Wilhelmina Barns-Graham, Vanessa Bell, Helen Frankenthaler, Elisabeth Frink, Barbara Hepworth, Gwen John, Marlow Moss and Paula Rego, and neglected figures who deserve to be much better-known, among them, Stella Steyn and Ethel Sands.</w:t>
      </w:r>
    </w:p>
    <w:p w14:paraId="28332F71" w14:textId="77777777" w:rsidR="004575D7" w:rsidRDefault="004575D7">
      <w:pPr>
        <w:spacing w:after="0" w:line="240" w:lineRule="auto"/>
        <w:ind w:left="360"/>
        <w:rPr>
          <w:rFonts w:ascii="Times New Roman" w:eastAsia="Times New Roman" w:hAnsi="Times New Roman"/>
          <w:sz w:val="24"/>
          <w:szCs w:val="24"/>
        </w:rPr>
      </w:pPr>
    </w:p>
    <w:p w14:paraId="4EAFCF14" w14:textId="77777777" w:rsidR="004575D7" w:rsidRDefault="00000000">
      <w:pPr>
        <w:spacing w:after="0" w:line="240" w:lineRule="auto"/>
        <w:ind w:left="360"/>
        <w:rPr>
          <w:rFonts w:ascii="Times New Roman" w:eastAsia="Times New Roman" w:hAnsi="Times New Roman"/>
          <w:sz w:val="24"/>
          <w:szCs w:val="24"/>
        </w:rPr>
      </w:pPr>
      <w:r>
        <w:rPr>
          <w:rFonts w:ascii="Times New Roman" w:eastAsia="Times New Roman" w:hAnsi="Times New Roman"/>
          <w:sz w:val="24"/>
          <w:szCs w:val="24"/>
        </w:rPr>
        <w:t xml:space="preserve">The WIAC not only survived but often thrived against the backdrop of hard fought-for freedoms within women’s rights, particularly women’s suffrage, two world wars, the rise of feminism and increasing artistic, </w:t>
      </w:r>
      <w:proofErr w:type="gramStart"/>
      <w:r>
        <w:rPr>
          <w:rFonts w:ascii="Times New Roman" w:eastAsia="Times New Roman" w:hAnsi="Times New Roman"/>
          <w:sz w:val="24"/>
          <w:szCs w:val="24"/>
        </w:rPr>
        <w:t>political</w:t>
      </w:r>
      <w:proofErr w:type="gramEnd"/>
      <w:r>
        <w:rPr>
          <w:rFonts w:ascii="Times New Roman" w:eastAsia="Times New Roman" w:hAnsi="Times New Roman"/>
          <w:sz w:val="24"/>
          <w:szCs w:val="24"/>
        </w:rPr>
        <w:t xml:space="preserve"> and educational freedom. Encompassing paintings, drawings, </w:t>
      </w:r>
      <w:proofErr w:type="gramStart"/>
      <w:r>
        <w:rPr>
          <w:rFonts w:ascii="Times New Roman" w:eastAsia="Times New Roman" w:hAnsi="Times New Roman"/>
          <w:sz w:val="24"/>
          <w:szCs w:val="24"/>
        </w:rPr>
        <w:t>sculpture</w:t>
      </w:r>
      <w:proofErr w:type="gramEnd"/>
      <w:r>
        <w:rPr>
          <w:rFonts w:ascii="Times New Roman" w:eastAsia="Times New Roman" w:hAnsi="Times New Roman"/>
          <w:sz w:val="24"/>
          <w:szCs w:val="24"/>
        </w:rPr>
        <w:t xml:space="preserve"> and lithographs depicting portraiture, self-portraiture, the nude, landscapes, interiors, still life, and abstracts reflecting this wider history, the exhibition presents an exhilarating snapshot of the club’s correspondingly radical artistic output over seven decades.</w:t>
      </w:r>
    </w:p>
    <w:p w14:paraId="49A8019D" w14:textId="77777777" w:rsidR="004575D7" w:rsidRDefault="004575D7">
      <w:pPr>
        <w:spacing w:after="0" w:line="240" w:lineRule="auto"/>
        <w:rPr>
          <w:rFonts w:ascii="Times New Roman" w:eastAsia="Times New Roman" w:hAnsi="Times New Roman"/>
          <w:color w:val="000000"/>
          <w:sz w:val="18"/>
          <w:szCs w:val="18"/>
        </w:rPr>
      </w:pPr>
    </w:p>
    <w:p w14:paraId="4D52CB96" w14:textId="0183B627" w:rsidR="004575D7" w:rsidRDefault="00000000">
      <w:pPr>
        <w:spacing w:after="0" w:line="240" w:lineRule="auto"/>
        <w:ind w:left="360"/>
        <w:rPr>
          <w:rFonts w:ascii="Times New Roman" w:eastAsia="Times New Roman" w:hAnsi="Times New Roman"/>
          <w:sz w:val="18"/>
          <w:szCs w:val="18"/>
        </w:rPr>
      </w:pPr>
      <w:r>
        <w:rPr>
          <w:rFonts w:ascii="Times New Roman" w:eastAsia="Times New Roman" w:hAnsi="Times New Roman"/>
          <w:sz w:val="24"/>
          <w:szCs w:val="24"/>
        </w:rPr>
        <w:t xml:space="preserve">A </w:t>
      </w:r>
      <w:r w:rsidR="00915843">
        <w:rPr>
          <w:rFonts w:ascii="Times New Roman" w:eastAsia="Times New Roman" w:hAnsi="Times New Roman"/>
          <w:sz w:val="24"/>
          <w:szCs w:val="24"/>
        </w:rPr>
        <w:t>fully illustrated</w:t>
      </w:r>
      <w:r>
        <w:rPr>
          <w:rFonts w:ascii="Times New Roman" w:eastAsia="Times New Roman" w:hAnsi="Times New Roman"/>
          <w:sz w:val="24"/>
          <w:szCs w:val="24"/>
        </w:rPr>
        <w:t xml:space="preserve"> online publication will accompany the exhibition with contributions by leading art historians in the field, together with a related series of events including lectures and podcasts by women artists, art historians, conservators, </w:t>
      </w:r>
      <w:proofErr w:type="gramStart"/>
      <w:r>
        <w:rPr>
          <w:rFonts w:ascii="Times New Roman" w:eastAsia="Times New Roman" w:hAnsi="Times New Roman"/>
          <w:sz w:val="24"/>
          <w:szCs w:val="24"/>
        </w:rPr>
        <w:t>curators</w:t>
      </w:r>
      <w:proofErr w:type="gramEnd"/>
      <w:r>
        <w:rPr>
          <w:rFonts w:ascii="Times New Roman" w:eastAsia="Times New Roman" w:hAnsi="Times New Roman"/>
          <w:sz w:val="24"/>
          <w:szCs w:val="24"/>
        </w:rPr>
        <w:t xml:space="preserve"> and gallerists, offering a variety of contemporary perspectives.</w:t>
      </w:r>
    </w:p>
    <w:p w14:paraId="7C591460" w14:textId="77777777" w:rsidR="004575D7" w:rsidRDefault="004575D7">
      <w:pPr>
        <w:spacing w:after="0" w:line="240" w:lineRule="auto"/>
        <w:ind w:left="360"/>
        <w:rPr>
          <w:rFonts w:ascii="Times New Roman" w:eastAsia="Times New Roman" w:hAnsi="Times New Roman"/>
          <w:sz w:val="18"/>
          <w:szCs w:val="18"/>
        </w:rPr>
      </w:pPr>
    </w:p>
    <w:p w14:paraId="006FB3BF" w14:textId="77777777" w:rsidR="004575D7" w:rsidRDefault="004575D7">
      <w:pPr>
        <w:spacing w:after="0" w:line="240" w:lineRule="auto"/>
        <w:ind w:left="360"/>
        <w:rPr>
          <w:rFonts w:ascii="Times New Roman" w:eastAsia="Times New Roman" w:hAnsi="Times New Roman"/>
          <w:sz w:val="18"/>
          <w:szCs w:val="18"/>
        </w:rPr>
      </w:pPr>
    </w:p>
    <w:p w14:paraId="584F4615" w14:textId="77777777" w:rsidR="004575D7" w:rsidRDefault="00000000">
      <w:pPr>
        <w:spacing w:after="0" w:line="240" w:lineRule="auto"/>
        <w:ind w:left="360"/>
        <w:rPr>
          <w:rFonts w:ascii="Times New Roman" w:eastAsia="Times New Roman" w:hAnsi="Times New Roman"/>
          <w:b/>
          <w:sz w:val="26"/>
          <w:szCs w:val="26"/>
        </w:rPr>
      </w:pPr>
      <w:r>
        <w:rPr>
          <w:rFonts w:ascii="Times New Roman" w:eastAsia="Times New Roman" w:hAnsi="Times New Roman"/>
          <w:b/>
          <w:sz w:val="26"/>
          <w:szCs w:val="26"/>
        </w:rPr>
        <w:t>Notes for Editors</w:t>
      </w:r>
    </w:p>
    <w:p w14:paraId="74406719" w14:textId="77777777" w:rsidR="004575D7" w:rsidRDefault="004575D7">
      <w:pPr>
        <w:spacing w:after="0" w:line="240" w:lineRule="auto"/>
        <w:ind w:left="360"/>
        <w:rPr>
          <w:rFonts w:ascii="Times New Roman" w:eastAsia="Times New Roman" w:hAnsi="Times New Roman"/>
          <w:b/>
          <w:sz w:val="26"/>
          <w:szCs w:val="26"/>
        </w:rPr>
      </w:pPr>
    </w:p>
    <w:p w14:paraId="65C01CB8" w14:textId="77777777" w:rsidR="004575D7" w:rsidRDefault="00000000">
      <w:pPr>
        <w:spacing w:after="0" w:line="240" w:lineRule="auto"/>
        <w:ind w:left="360"/>
        <w:rPr>
          <w:rFonts w:ascii="Times New Roman" w:eastAsia="Times New Roman" w:hAnsi="Times New Roman"/>
          <w:sz w:val="24"/>
          <w:szCs w:val="24"/>
        </w:rPr>
      </w:pPr>
      <w:r>
        <w:rPr>
          <w:rFonts w:ascii="Times New Roman" w:eastAsia="Times New Roman" w:hAnsi="Times New Roman"/>
          <w:b/>
          <w:sz w:val="26"/>
          <w:szCs w:val="26"/>
        </w:rPr>
        <w:t xml:space="preserve">External artists: </w:t>
      </w:r>
      <w:r>
        <w:rPr>
          <w:rFonts w:ascii="Times New Roman" w:eastAsia="Times New Roman" w:hAnsi="Times New Roman"/>
          <w:sz w:val="24"/>
          <w:szCs w:val="24"/>
        </w:rPr>
        <w:t>Eileen Agar (1899–1991),</w:t>
      </w:r>
      <w:r>
        <w:rPr>
          <w:rFonts w:ascii="Times New Roman" w:eastAsia="Times New Roman" w:hAnsi="Times New Roman"/>
          <w:b/>
          <w:sz w:val="26"/>
          <w:szCs w:val="26"/>
        </w:rPr>
        <w:t xml:space="preserve"> </w:t>
      </w:r>
      <w:r>
        <w:rPr>
          <w:rFonts w:ascii="Times New Roman" w:eastAsia="Times New Roman" w:hAnsi="Times New Roman"/>
          <w:sz w:val="24"/>
          <w:szCs w:val="24"/>
        </w:rPr>
        <w:t xml:space="preserve">Gillian Ayres (1930–2018), Wilhelmina Barns-Graham (1912–2004), Vanessa Bell (1879–1961), Prunella Clough (1919–1999), </w:t>
      </w:r>
      <w:proofErr w:type="spellStart"/>
      <w:r>
        <w:rPr>
          <w:rFonts w:ascii="Times New Roman" w:eastAsia="Times New Roman" w:hAnsi="Times New Roman"/>
          <w:sz w:val="26"/>
          <w:szCs w:val="26"/>
        </w:rPr>
        <w:t>I</w:t>
      </w:r>
      <w:r>
        <w:rPr>
          <w:rFonts w:ascii="Times New Roman" w:eastAsia="Times New Roman" w:hAnsi="Times New Roman"/>
          <w:sz w:val="24"/>
          <w:szCs w:val="24"/>
        </w:rPr>
        <w:t>thell</w:t>
      </w:r>
      <w:proofErr w:type="spellEnd"/>
      <w:r>
        <w:rPr>
          <w:rFonts w:ascii="Times New Roman" w:eastAsia="Times New Roman" w:hAnsi="Times New Roman"/>
          <w:sz w:val="24"/>
          <w:szCs w:val="24"/>
        </w:rPr>
        <w:t xml:space="preserve"> Colquhoun (1906–1988), Helen Frankenthaler (1928–2011), Elisabeth Frink (1930–1993), Barbara Hepworth (1903–1975), Gwen John (1876–1939), Marlow Moss (1889–1958), Winifred Nicholson (1893–1981), Paula Rego (1935–2022), Anne Estelle Rice (1877–1959), Ethel Sands (1873–1962) and Stella Steyn (1907–1987).</w:t>
      </w:r>
    </w:p>
    <w:p w14:paraId="161ABBC1" w14:textId="77777777" w:rsidR="004575D7" w:rsidRDefault="004575D7">
      <w:pPr>
        <w:spacing w:after="0" w:line="240" w:lineRule="auto"/>
        <w:rPr>
          <w:rFonts w:ascii="Times New Roman" w:eastAsia="Times New Roman" w:hAnsi="Times New Roman"/>
          <w:sz w:val="18"/>
          <w:szCs w:val="18"/>
        </w:rPr>
      </w:pPr>
    </w:p>
    <w:p w14:paraId="1AA186B9" w14:textId="77777777" w:rsidR="004575D7" w:rsidRDefault="00000000">
      <w:pPr>
        <w:spacing w:after="0" w:line="240" w:lineRule="auto"/>
        <w:ind w:left="360"/>
        <w:rPr>
          <w:rFonts w:ascii="Times New Roman" w:eastAsia="Times New Roman" w:hAnsi="Times New Roman"/>
          <w:color w:val="000000"/>
          <w:sz w:val="18"/>
          <w:szCs w:val="18"/>
        </w:rPr>
      </w:pPr>
      <w:r>
        <w:rPr>
          <w:rFonts w:ascii="Times New Roman" w:eastAsia="Times New Roman" w:hAnsi="Times New Roman"/>
          <w:b/>
          <w:sz w:val="24"/>
          <w:szCs w:val="24"/>
        </w:rPr>
        <w:t>Ben Uri a</w:t>
      </w:r>
      <w:r>
        <w:rPr>
          <w:rFonts w:ascii="Times New Roman" w:eastAsia="Times New Roman" w:hAnsi="Times New Roman"/>
          <w:b/>
          <w:color w:val="000000"/>
          <w:sz w:val="24"/>
          <w:szCs w:val="24"/>
        </w:rPr>
        <w:t>rtists:</w:t>
      </w:r>
      <w:r>
        <w:rPr>
          <w:rFonts w:ascii="Times New Roman" w:eastAsia="Times New Roman" w:hAnsi="Times New Roman"/>
          <w:color w:val="000000"/>
          <w:sz w:val="24"/>
          <w:szCs w:val="24"/>
        </w:rPr>
        <w:t xml:space="preserve"> Janina </w:t>
      </w:r>
      <w:proofErr w:type="spellStart"/>
      <w:r>
        <w:rPr>
          <w:rFonts w:ascii="Times New Roman" w:eastAsia="Times New Roman" w:hAnsi="Times New Roman"/>
          <w:color w:val="000000"/>
          <w:sz w:val="24"/>
          <w:szCs w:val="24"/>
        </w:rPr>
        <w:t>Baranowska</w:t>
      </w:r>
      <w:proofErr w:type="spellEnd"/>
      <w:r>
        <w:rPr>
          <w:rFonts w:ascii="Times New Roman" w:eastAsia="Times New Roman" w:hAnsi="Times New Roman"/>
          <w:color w:val="000000"/>
          <w:sz w:val="24"/>
          <w:szCs w:val="24"/>
        </w:rPr>
        <w:t xml:space="preserve"> (1925</w:t>
      </w:r>
      <w:r>
        <w:rPr>
          <w:rFonts w:ascii="Times New Roman" w:eastAsia="Times New Roman" w:hAnsi="Times New Roman"/>
          <w:sz w:val="24"/>
          <w:szCs w:val="24"/>
        </w:rPr>
        <w:t>–2021</w:t>
      </w:r>
      <w:r>
        <w:rPr>
          <w:rFonts w:ascii="Times New Roman" w:eastAsia="Times New Roman" w:hAnsi="Times New Roman"/>
          <w:color w:val="000000"/>
          <w:sz w:val="24"/>
          <w:szCs w:val="24"/>
        </w:rPr>
        <w:t>), Sandra Blow (1925–2006), Ruth Collet (1909</w:t>
      </w:r>
      <w:r>
        <w:rPr>
          <w:rFonts w:ascii="Times New Roman" w:eastAsia="Times New Roman" w:hAnsi="Times New Roman"/>
          <w:color w:val="212529"/>
          <w:sz w:val="24"/>
          <w:szCs w:val="24"/>
        </w:rPr>
        <w:t>–2001)</w:t>
      </w:r>
      <w:r>
        <w:rPr>
          <w:rFonts w:ascii="Times New Roman" w:eastAsia="Times New Roman" w:hAnsi="Times New Roman"/>
          <w:color w:val="000000"/>
          <w:sz w:val="24"/>
          <w:szCs w:val="24"/>
        </w:rPr>
        <w:t>, Sonia Delaunay (1885</w:t>
      </w:r>
      <w:r>
        <w:rPr>
          <w:rFonts w:ascii="Times New Roman" w:eastAsia="Times New Roman" w:hAnsi="Times New Roman"/>
          <w:color w:val="212529"/>
          <w:sz w:val="24"/>
          <w:szCs w:val="24"/>
        </w:rPr>
        <w:t>–1979)</w:t>
      </w:r>
      <w:r>
        <w:rPr>
          <w:rFonts w:ascii="Times New Roman" w:eastAsia="Times New Roman" w:hAnsi="Times New Roman"/>
          <w:color w:val="000000"/>
          <w:sz w:val="24"/>
          <w:szCs w:val="24"/>
        </w:rPr>
        <w:t xml:space="preserve">, Amy Drucker (1873–1951), Zena Flax (b. 1930), Lily </w:t>
      </w:r>
      <w:proofErr w:type="spellStart"/>
      <w:r>
        <w:rPr>
          <w:rFonts w:ascii="Times New Roman" w:eastAsia="Times New Roman" w:hAnsi="Times New Roman"/>
          <w:color w:val="000000"/>
          <w:sz w:val="24"/>
          <w:szCs w:val="24"/>
        </w:rPr>
        <w:t>Delissa</w:t>
      </w:r>
      <w:proofErr w:type="spellEnd"/>
      <w:r>
        <w:rPr>
          <w:rFonts w:ascii="Times New Roman" w:eastAsia="Times New Roman" w:hAnsi="Times New Roman"/>
          <w:color w:val="000000"/>
          <w:sz w:val="24"/>
          <w:szCs w:val="24"/>
        </w:rPr>
        <w:t xml:space="preserve"> Joseph (1863–1940), Elsa Fraenkel ((1892–1975), Dora </w:t>
      </w:r>
      <w:proofErr w:type="spellStart"/>
      <w:r>
        <w:rPr>
          <w:rFonts w:ascii="Times New Roman" w:eastAsia="Times New Roman" w:hAnsi="Times New Roman"/>
          <w:color w:val="000000"/>
          <w:sz w:val="24"/>
          <w:szCs w:val="24"/>
        </w:rPr>
        <w:t>Gordine</w:t>
      </w:r>
      <w:proofErr w:type="spellEnd"/>
      <w:r>
        <w:rPr>
          <w:rFonts w:ascii="Times New Roman" w:eastAsia="Times New Roman" w:hAnsi="Times New Roman"/>
          <w:color w:val="000000"/>
          <w:sz w:val="24"/>
          <w:szCs w:val="24"/>
        </w:rPr>
        <w:t xml:space="preserve"> (1895</w:t>
      </w:r>
      <w:r>
        <w:rPr>
          <w:rFonts w:ascii="Times New Roman" w:eastAsia="Times New Roman" w:hAnsi="Times New Roman"/>
          <w:color w:val="212529"/>
          <w:sz w:val="24"/>
          <w:szCs w:val="24"/>
        </w:rPr>
        <w:t>–1991</w:t>
      </w:r>
      <w:r>
        <w:rPr>
          <w:rFonts w:ascii="Times New Roman" w:eastAsia="Times New Roman" w:hAnsi="Times New Roman"/>
          <w:color w:val="000000"/>
          <w:sz w:val="24"/>
          <w:szCs w:val="24"/>
        </w:rPr>
        <w:t>), Clara Klinghoffer (1900</w:t>
      </w:r>
      <w:r>
        <w:rPr>
          <w:rFonts w:ascii="Times New Roman" w:eastAsia="Times New Roman" w:hAnsi="Times New Roman"/>
          <w:color w:val="212529"/>
          <w:sz w:val="24"/>
          <w:szCs w:val="24"/>
        </w:rPr>
        <w:t>–1970)</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 xml:space="preserve">Laura Knight (1877–1970), </w:t>
      </w:r>
      <w:r>
        <w:rPr>
          <w:rFonts w:ascii="Times New Roman" w:eastAsia="Times New Roman" w:hAnsi="Times New Roman"/>
          <w:color w:val="000000"/>
          <w:sz w:val="24"/>
          <w:szCs w:val="24"/>
        </w:rPr>
        <w:t>Halina Korn (1902–1978), Margaret Marks (1899</w:t>
      </w:r>
      <w:r>
        <w:rPr>
          <w:rFonts w:ascii="Times New Roman" w:eastAsia="Times New Roman" w:hAnsi="Times New Roman"/>
          <w:color w:val="212529"/>
          <w:sz w:val="24"/>
          <w:szCs w:val="24"/>
        </w:rPr>
        <w:t>–1990)</w:t>
      </w:r>
      <w:r>
        <w:rPr>
          <w:rFonts w:ascii="Times New Roman" w:eastAsia="Times New Roman" w:hAnsi="Times New Roman"/>
          <w:color w:val="000000"/>
          <w:sz w:val="24"/>
          <w:szCs w:val="24"/>
        </w:rPr>
        <w:t xml:space="preserve">, Anna </w:t>
      </w:r>
      <w:proofErr w:type="spellStart"/>
      <w:r>
        <w:rPr>
          <w:rFonts w:ascii="Times New Roman" w:eastAsia="Times New Roman" w:hAnsi="Times New Roman"/>
          <w:color w:val="000000"/>
          <w:sz w:val="24"/>
          <w:szCs w:val="24"/>
        </w:rPr>
        <w:t>Mayerson</w:t>
      </w:r>
      <w:proofErr w:type="spellEnd"/>
      <w:r>
        <w:rPr>
          <w:rFonts w:ascii="Times New Roman" w:eastAsia="Times New Roman" w:hAnsi="Times New Roman"/>
          <w:color w:val="000000"/>
          <w:sz w:val="24"/>
          <w:szCs w:val="24"/>
        </w:rPr>
        <w:t xml:space="preserve"> (1906</w:t>
      </w:r>
      <w:r>
        <w:rPr>
          <w:rFonts w:ascii="Times New Roman" w:eastAsia="Times New Roman" w:hAnsi="Times New Roman"/>
          <w:color w:val="212529"/>
          <w:sz w:val="24"/>
          <w:szCs w:val="24"/>
        </w:rPr>
        <w:t>–1984)</w:t>
      </w:r>
      <w:r>
        <w:rPr>
          <w:rFonts w:ascii="Times New Roman" w:eastAsia="Times New Roman" w:hAnsi="Times New Roman"/>
          <w:color w:val="000000"/>
          <w:sz w:val="24"/>
          <w:szCs w:val="24"/>
        </w:rPr>
        <w:t xml:space="preserve">, Else </w:t>
      </w:r>
      <w:proofErr w:type="spellStart"/>
      <w:r>
        <w:rPr>
          <w:rFonts w:ascii="Times New Roman" w:eastAsia="Times New Roman" w:hAnsi="Times New Roman"/>
          <w:color w:val="000000"/>
          <w:sz w:val="24"/>
          <w:szCs w:val="24"/>
        </w:rPr>
        <w:t>Meidner</w:t>
      </w:r>
      <w:proofErr w:type="spellEnd"/>
      <w:r>
        <w:rPr>
          <w:rFonts w:ascii="Times New Roman" w:eastAsia="Times New Roman" w:hAnsi="Times New Roman"/>
          <w:color w:val="000000"/>
          <w:sz w:val="24"/>
          <w:szCs w:val="24"/>
        </w:rPr>
        <w:t xml:space="preserve"> (1901–1987), Erna Nonnenmacher (1889–1980), Lena </w:t>
      </w:r>
      <w:proofErr w:type="spellStart"/>
      <w:r>
        <w:rPr>
          <w:rFonts w:ascii="Times New Roman" w:eastAsia="Times New Roman" w:hAnsi="Times New Roman"/>
          <w:color w:val="000000"/>
          <w:sz w:val="24"/>
          <w:szCs w:val="24"/>
        </w:rPr>
        <w:t>Pillico</w:t>
      </w:r>
      <w:proofErr w:type="spellEnd"/>
      <w:r>
        <w:rPr>
          <w:rFonts w:ascii="Times New Roman" w:eastAsia="Times New Roman" w:hAnsi="Times New Roman"/>
          <w:color w:val="000000"/>
          <w:sz w:val="24"/>
          <w:szCs w:val="24"/>
        </w:rPr>
        <w:t xml:space="preserve"> (1884–1947), </w:t>
      </w:r>
      <w:proofErr w:type="spellStart"/>
      <w:r>
        <w:rPr>
          <w:rFonts w:ascii="Times New Roman" w:eastAsia="Times New Roman" w:hAnsi="Times New Roman"/>
          <w:color w:val="000000"/>
          <w:sz w:val="24"/>
          <w:szCs w:val="24"/>
        </w:rPr>
        <w:t>Orovida</w:t>
      </w:r>
      <w:proofErr w:type="spellEnd"/>
      <w:r>
        <w:rPr>
          <w:rFonts w:ascii="Times New Roman" w:eastAsia="Times New Roman" w:hAnsi="Times New Roman"/>
          <w:sz w:val="24"/>
          <w:szCs w:val="24"/>
        </w:rPr>
        <w:t xml:space="preserve"> (née Pissarro, </w:t>
      </w:r>
      <w:r>
        <w:rPr>
          <w:rFonts w:ascii="Times New Roman" w:eastAsia="Times New Roman" w:hAnsi="Times New Roman"/>
          <w:color w:val="000000"/>
          <w:sz w:val="24"/>
          <w:szCs w:val="24"/>
        </w:rPr>
        <w:t xml:space="preserve">1893–1968), Adèle </w:t>
      </w:r>
      <w:proofErr w:type="spellStart"/>
      <w:r>
        <w:rPr>
          <w:rFonts w:ascii="Times New Roman" w:eastAsia="Times New Roman" w:hAnsi="Times New Roman"/>
          <w:color w:val="000000"/>
          <w:sz w:val="24"/>
          <w:szCs w:val="24"/>
        </w:rPr>
        <w:t>Reifenberg</w:t>
      </w:r>
      <w:proofErr w:type="spellEnd"/>
      <w:r>
        <w:rPr>
          <w:rFonts w:ascii="Times New Roman" w:eastAsia="Times New Roman" w:hAnsi="Times New Roman"/>
          <w:color w:val="000000"/>
          <w:sz w:val="24"/>
          <w:szCs w:val="24"/>
        </w:rPr>
        <w:t xml:space="preserve"> (1893–1986), </w:t>
      </w:r>
      <w:proofErr w:type="spellStart"/>
      <w:r>
        <w:rPr>
          <w:rFonts w:ascii="Times New Roman" w:eastAsia="Times New Roman" w:hAnsi="Times New Roman"/>
          <w:color w:val="000000"/>
          <w:sz w:val="24"/>
          <w:szCs w:val="24"/>
        </w:rPr>
        <w:t>Lotti</w:t>
      </w:r>
      <w:proofErr w:type="spellEnd"/>
      <w:r>
        <w:rPr>
          <w:rFonts w:ascii="Times New Roman" w:eastAsia="Times New Roman" w:hAnsi="Times New Roman"/>
          <w:color w:val="000000"/>
          <w:sz w:val="24"/>
          <w:szCs w:val="24"/>
        </w:rPr>
        <w:t xml:space="preserve"> Reizenstein (1904</w:t>
      </w:r>
      <w:r>
        <w:rPr>
          <w:rFonts w:ascii="Times New Roman" w:eastAsia="Times New Roman" w:hAnsi="Times New Roman"/>
          <w:color w:val="212529"/>
          <w:sz w:val="24"/>
          <w:szCs w:val="24"/>
        </w:rPr>
        <w:t>–1982)</w:t>
      </w: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Ottilie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Tolansky</w:t>
      </w:r>
      <w:proofErr w:type="spellEnd"/>
      <w:r>
        <w:rPr>
          <w:rFonts w:ascii="Times New Roman" w:eastAsia="Times New Roman" w:hAnsi="Times New Roman"/>
          <w:color w:val="000000"/>
          <w:sz w:val="24"/>
          <w:szCs w:val="24"/>
        </w:rPr>
        <w:t xml:space="preserve"> (1912–1977) and Katerina </w:t>
      </w:r>
      <w:proofErr w:type="spellStart"/>
      <w:r>
        <w:rPr>
          <w:rFonts w:ascii="Times New Roman" w:eastAsia="Times New Roman" w:hAnsi="Times New Roman"/>
          <w:color w:val="000000"/>
          <w:sz w:val="24"/>
          <w:szCs w:val="24"/>
        </w:rPr>
        <w:t>Wilczynski</w:t>
      </w:r>
      <w:proofErr w:type="spellEnd"/>
      <w:r>
        <w:rPr>
          <w:rFonts w:ascii="Times New Roman" w:eastAsia="Times New Roman" w:hAnsi="Times New Roman"/>
          <w:color w:val="000000"/>
          <w:sz w:val="24"/>
          <w:szCs w:val="24"/>
        </w:rPr>
        <w:t xml:space="preserve"> (1894</w:t>
      </w:r>
      <w:r>
        <w:rPr>
          <w:rFonts w:ascii="Times New Roman" w:eastAsia="Times New Roman" w:hAnsi="Times New Roman"/>
          <w:color w:val="212529"/>
          <w:sz w:val="24"/>
          <w:szCs w:val="24"/>
        </w:rPr>
        <w:t>–1978)</w:t>
      </w:r>
      <w:r>
        <w:rPr>
          <w:rFonts w:ascii="Times New Roman" w:eastAsia="Times New Roman" w:hAnsi="Times New Roman"/>
          <w:color w:val="000000"/>
          <w:sz w:val="24"/>
          <w:szCs w:val="24"/>
        </w:rPr>
        <w:t>.</w:t>
      </w:r>
    </w:p>
    <w:p w14:paraId="41BA361B" w14:textId="77777777" w:rsidR="004575D7" w:rsidRDefault="004575D7">
      <w:pPr>
        <w:spacing w:after="0" w:line="240" w:lineRule="auto"/>
        <w:ind w:left="360"/>
        <w:rPr>
          <w:rFonts w:ascii="Times New Roman" w:eastAsia="Times New Roman" w:hAnsi="Times New Roman"/>
          <w:color w:val="000000"/>
          <w:sz w:val="18"/>
          <w:szCs w:val="18"/>
        </w:rPr>
      </w:pPr>
    </w:p>
    <w:p w14:paraId="1FBA8DEA" w14:textId="77777777" w:rsidR="004575D7" w:rsidRDefault="00000000">
      <w:pPr>
        <w:spacing w:after="0" w:line="240" w:lineRule="auto"/>
        <w:ind w:left="360"/>
        <w:rPr>
          <w:rFonts w:ascii="Times New Roman" w:eastAsia="Times New Roman" w:hAnsi="Times New Roman"/>
          <w:color w:val="000000"/>
          <w:sz w:val="18"/>
          <w:szCs w:val="18"/>
        </w:rPr>
      </w:pPr>
      <w:r>
        <w:rPr>
          <w:rFonts w:ascii="Times New Roman" w:eastAsia="Times New Roman" w:hAnsi="Times New Roman"/>
          <w:b/>
          <w:sz w:val="24"/>
          <w:szCs w:val="24"/>
        </w:rPr>
        <w:t>The Ben Uri Collection</w:t>
      </w:r>
      <w:r>
        <w:rPr>
          <w:rFonts w:ascii="Times New Roman" w:eastAsia="Times New Roman" w:hAnsi="Times New Roman"/>
          <w:sz w:val="24"/>
          <w:szCs w:val="24"/>
        </w:rPr>
        <w:t xml:space="preserve"> was formed in 1915 in London’s East End by Russian-Jewish decorative artist and craftsman Lazar Berson to support Jewish artists working outside the cultural mainstream. In 2002 the remit widened to include all first- and second-generation immigrant artists, irrespective of national, ethnic, and religious/ non-religious origins, who have helped to enrich Britain’s visual culture.</w:t>
      </w:r>
      <w:r>
        <w:rPr>
          <w:rFonts w:ascii="Times New Roman" w:eastAsia="Times New Roman" w:hAnsi="Times New Roman"/>
          <w:color w:val="000000"/>
          <w:sz w:val="24"/>
          <w:szCs w:val="24"/>
        </w:rPr>
        <w:t xml:space="preserve"> The Collection, begun in 1919, now principally reflects three waves of migration to the UK: first- and second-generation Eastern-European Jewish migration prior to the First World War; the so-called ‘Hitler émigrés’ both Jewish and non-Jewish (1933–45), and wider multicultural immigration after the Second World War. Ben Uri’s collection and exhibiting history often reflect </w:t>
      </w:r>
      <w:r>
        <w:rPr>
          <w:rFonts w:ascii="Times New Roman" w:eastAsia="Times New Roman" w:hAnsi="Times New Roman"/>
          <w:color w:val="000000"/>
          <w:sz w:val="24"/>
          <w:szCs w:val="24"/>
        </w:rPr>
        <w:lastRenderedPageBreak/>
        <w:t>WIAC membership with women from both Jewish and immigrant backgrounds regularly exhibiting at both venues</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Lena </w:t>
      </w:r>
      <w:proofErr w:type="spellStart"/>
      <w:r>
        <w:rPr>
          <w:rFonts w:ascii="Times New Roman" w:eastAsia="Times New Roman" w:hAnsi="Times New Roman"/>
          <w:color w:val="000000"/>
          <w:sz w:val="24"/>
          <w:szCs w:val="24"/>
        </w:rPr>
        <w:t>Pillico</w:t>
      </w:r>
      <w:proofErr w:type="spellEnd"/>
      <w:r>
        <w:rPr>
          <w:rFonts w:ascii="Times New Roman" w:eastAsia="Times New Roman" w:hAnsi="Times New Roman"/>
          <w:sz w:val="24"/>
          <w:szCs w:val="24"/>
        </w:rPr>
        <w:t xml:space="preserve"> was the first female artist to exhibit under Ben Uri’s auspices in 1927, Clara Klinghoffer’s work was the first to enter the permanent collection in 1935, and </w:t>
      </w:r>
      <w:r>
        <w:rPr>
          <w:rFonts w:ascii="Times New Roman" w:eastAsia="Times New Roman" w:hAnsi="Times New Roman"/>
          <w:color w:val="000000"/>
          <w:sz w:val="24"/>
          <w:szCs w:val="24"/>
        </w:rPr>
        <w:t xml:space="preserve">Lily </w:t>
      </w:r>
      <w:proofErr w:type="spellStart"/>
      <w:r>
        <w:rPr>
          <w:rFonts w:ascii="Times New Roman" w:eastAsia="Times New Roman" w:hAnsi="Times New Roman"/>
          <w:color w:val="000000"/>
          <w:sz w:val="24"/>
          <w:szCs w:val="24"/>
        </w:rPr>
        <w:t>Delissa</w:t>
      </w:r>
      <w:proofErr w:type="spellEnd"/>
      <w:r>
        <w:rPr>
          <w:rFonts w:ascii="Times New Roman" w:eastAsia="Times New Roman" w:hAnsi="Times New Roman"/>
          <w:color w:val="000000"/>
          <w:sz w:val="24"/>
          <w:szCs w:val="24"/>
        </w:rPr>
        <w:t xml:space="preserve"> Joseph</w:t>
      </w:r>
      <w:r>
        <w:rPr>
          <w:rFonts w:ascii="Times New Roman" w:eastAsia="Times New Roman" w:hAnsi="Times New Roman"/>
          <w:sz w:val="24"/>
          <w:szCs w:val="24"/>
        </w:rPr>
        <w:t xml:space="preserve"> successfully negotiated her artistic, religious, familial, and political identities, while maintaining an international exhibiting profile. </w:t>
      </w:r>
      <w:proofErr w:type="spellStart"/>
      <w:r>
        <w:rPr>
          <w:rFonts w:ascii="Times New Roman" w:eastAsia="Times New Roman" w:hAnsi="Times New Roman"/>
          <w:sz w:val="24"/>
          <w:szCs w:val="24"/>
        </w:rPr>
        <w:t>Orovida</w:t>
      </w:r>
      <w:proofErr w:type="spellEnd"/>
      <w:r>
        <w:rPr>
          <w:rFonts w:ascii="Times New Roman" w:eastAsia="Times New Roman" w:hAnsi="Times New Roman"/>
          <w:sz w:val="24"/>
          <w:szCs w:val="24"/>
        </w:rPr>
        <w:t xml:space="preserve"> Pissarro, a key and high-profile WIAC member, served on the selection, hanging, and executive committees almost continuously from 1928–1950. </w:t>
      </w:r>
    </w:p>
    <w:p w14:paraId="52E31742" w14:textId="77777777" w:rsidR="004575D7" w:rsidRDefault="004575D7">
      <w:pPr>
        <w:spacing w:after="0" w:line="240" w:lineRule="auto"/>
        <w:ind w:left="360"/>
        <w:rPr>
          <w:rFonts w:ascii="Times New Roman" w:eastAsia="Times New Roman" w:hAnsi="Times New Roman"/>
          <w:color w:val="000000"/>
          <w:sz w:val="18"/>
          <w:szCs w:val="18"/>
        </w:rPr>
      </w:pPr>
    </w:p>
    <w:p w14:paraId="6D00233A" w14:textId="7B78DC44" w:rsidR="004575D7" w:rsidRDefault="00000000">
      <w:pPr>
        <w:spacing w:after="0" w:line="240" w:lineRule="auto"/>
        <w:rPr>
          <w:rFonts w:ascii="Times New Roman" w:eastAsia="Times New Roman" w:hAnsi="Times New Roman"/>
          <w:color w:val="000000"/>
          <w:sz w:val="18"/>
          <w:szCs w:val="18"/>
        </w:rPr>
      </w:pPr>
      <w:r>
        <w:rPr>
          <w:rFonts w:ascii="Times New Roman" w:eastAsia="Times New Roman" w:hAnsi="Times New Roman"/>
          <w:b/>
          <w:sz w:val="24"/>
          <w:szCs w:val="24"/>
        </w:rPr>
        <w:t>For further information contact</w:t>
      </w:r>
      <w:r>
        <w:rPr>
          <w:rFonts w:ascii="Times New Roman" w:eastAsia="Times New Roman" w:hAnsi="Times New Roman"/>
          <w:sz w:val="24"/>
          <w:szCs w:val="24"/>
        </w:rPr>
        <w:t xml:space="preserve">: Sarah MacDougall </w:t>
      </w:r>
      <w:hyperlink r:id="rId7">
        <w:r>
          <w:rPr>
            <w:rFonts w:ascii="Times New Roman" w:eastAsia="Times New Roman" w:hAnsi="Times New Roman"/>
            <w:color w:val="0563C1"/>
            <w:sz w:val="24"/>
            <w:szCs w:val="24"/>
            <w:u w:val="single"/>
          </w:rPr>
          <w:t>Sarahm@benuri.org</w:t>
        </w:r>
      </w:hyperlink>
    </w:p>
    <w:p w14:paraId="3954699F" w14:textId="25EC51A0" w:rsidR="004575D7" w:rsidRDefault="00000000">
      <w:pPr>
        <w:spacing w:after="0" w:line="240" w:lineRule="auto"/>
        <w:rPr>
          <w:rFonts w:ascii="Times New Roman" w:eastAsia="Times New Roman" w:hAnsi="Times New Roman"/>
          <w:color w:val="1155CC"/>
          <w:sz w:val="24"/>
          <w:szCs w:val="24"/>
          <w:u w:val="single"/>
        </w:rPr>
      </w:pPr>
      <w:r>
        <w:rPr>
          <w:rFonts w:ascii="Times New Roman" w:eastAsia="Times New Roman" w:hAnsi="Times New Roman"/>
          <w:sz w:val="18"/>
          <w:szCs w:val="18"/>
        </w:rPr>
        <w:t xml:space="preserve"> </w:t>
      </w:r>
      <w:r>
        <w:rPr>
          <w:rFonts w:ascii="Times New Roman" w:eastAsia="Times New Roman" w:hAnsi="Times New Roman"/>
          <w:sz w:val="24"/>
          <w:szCs w:val="24"/>
        </w:rPr>
        <w:t xml:space="preserve">For opening times: see </w:t>
      </w:r>
      <w:hyperlink r:id="rId8">
        <w:r>
          <w:rPr>
            <w:rFonts w:ascii="Times New Roman" w:eastAsia="Times New Roman" w:hAnsi="Times New Roman"/>
            <w:color w:val="1155CC"/>
            <w:sz w:val="24"/>
            <w:szCs w:val="24"/>
            <w:u w:val="single"/>
          </w:rPr>
          <w:t>https://benuri.org/</w:t>
        </w:r>
      </w:hyperlink>
    </w:p>
    <w:p w14:paraId="737FF9F3" w14:textId="77777777" w:rsidR="00064E0D" w:rsidRDefault="00064E0D">
      <w:pPr>
        <w:spacing w:after="0" w:line="240" w:lineRule="auto"/>
        <w:rPr>
          <w:rFonts w:ascii="Times New Roman" w:eastAsia="Times New Roman" w:hAnsi="Times New Roman"/>
          <w:color w:val="1155CC"/>
          <w:sz w:val="24"/>
          <w:szCs w:val="24"/>
          <w:u w:val="single"/>
        </w:rPr>
      </w:pPr>
    </w:p>
    <w:p w14:paraId="42BF67C6" w14:textId="3F5D1BFD" w:rsidR="00064E0D" w:rsidRPr="00064E0D" w:rsidRDefault="00064E0D" w:rsidP="00064E0D">
      <w:r w:rsidRPr="00064E0D">
        <w:t>ENDS</w:t>
      </w:r>
    </w:p>
    <w:sectPr w:rsidR="00064E0D" w:rsidRPr="00064E0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D7"/>
    <w:rsid w:val="00064E0D"/>
    <w:rsid w:val="002A6C2A"/>
    <w:rsid w:val="004575D7"/>
    <w:rsid w:val="00915843"/>
    <w:rsid w:val="00BD437A"/>
    <w:rsid w:val="00BE4337"/>
    <w:rsid w:val="00C237EF"/>
    <w:rsid w:val="00F04AEC"/>
    <w:rsid w:val="00FC6047"/>
    <w:rsid w:val="00FD5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3DCC5"/>
  <w15:docId w15:val="{28136436-DD15-4352-8AAC-D62348CD2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360"/>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576A4"/>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0D6731"/>
    <w:rPr>
      <w:color w:val="0563C1" w:themeColor="hyperlink"/>
      <w:u w:val="single"/>
    </w:rPr>
  </w:style>
  <w:style w:type="character" w:styleId="UnresolvedMention">
    <w:name w:val="Unresolved Mention"/>
    <w:basedOn w:val="DefaultParagraphFont"/>
    <w:uiPriority w:val="99"/>
    <w:semiHidden/>
    <w:unhideWhenUsed/>
    <w:rsid w:val="000D6731"/>
    <w:rPr>
      <w:color w:val="605E5C"/>
      <w:shd w:val="clear" w:color="auto" w:fill="E1DFDD"/>
    </w:rPr>
  </w:style>
  <w:style w:type="character" w:styleId="FollowedHyperlink">
    <w:name w:val="FollowedHyperlink"/>
    <w:basedOn w:val="DefaultParagraphFont"/>
    <w:uiPriority w:val="99"/>
    <w:semiHidden/>
    <w:unhideWhenUsed/>
    <w:rsid w:val="000D6731"/>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enuri.org/" TargetMode="External"/><Relationship Id="rId3" Type="http://schemas.openxmlformats.org/officeDocument/2006/relationships/settings" Target="settings.xml"/><Relationship Id="rId7" Type="http://schemas.openxmlformats.org/officeDocument/2006/relationships/hyperlink" Target="mailto:Sarahm@benuri.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4TBJANZ4RSZJKRiLrijbeeU+UA==">AMUW2mW4fgWZSGbFp5JfYVe6oVPiImA67yft37gvtlYa9MLog4kIP2IvwcROblUvjkKnxJfEBaip091DMjXF5XpFix4ncSjz6INx8A6VFAgXkmpNRF2IGJU=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794</Words>
  <Characters>4527</Characters>
  <Application>Microsoft Office Word</Application>
  <DocSecurity>0</DocSecurity>
  <Lines>37</Lines>
  <Paragraphs>10</Paragraphs>
  <ScaleCrop>false</ScaleCrop>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MacDougall</dc:creator>
  <cp:lastModifiedBy>Alan Slingsby</cp:lastModifiedBy>
  <cp:revision>3</cp:revision>
  <dcterms:created xsi:type="dcterms:W3CDTF">2023-05-19T13:59:00Z</dcterms:created>
  <dcterms:modified xsi:type="dcterms:W3CDTF">2023-05-19T13:59:00Z</dcterms:modified>
</cp:coreProperties>
</file>